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BAF2D9">
      <w:pPr>
        <w:spacing w:line="600" w:lineRule="exact"/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部门整体支出绩效评价报告</w:t>
      </w:r>
    </w:p>
    <w:p w14:paraId="76E1DF4E">
      <w:pPr>
        <w:rPr>
          <w:rFonts w:ascii="Times New Roman" w:hAnsi="Times New Roman" w:eastAsia="方正小标宋_GBK"/>
          <w:sz w:val="32"/>
          <w:szCs w:val="32"/>
        </w:rPr>
      </w:pPr>
    </w:p>
    <w:p w14:paraId="5240A826">
      <w:pPr>
        <w:pStyle w:val="7"/>
        <w:widowControl/>
        <w:numPr>
          <w:ilvl w:val="0"/>
          <w:numId w:val="1"/>
        </w:numPr>
        <w:spacing w:line="500" w:lineRule="exact"/>
        <w:ind w:firstLineChars="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部门、单位基本情况</w:t>
      </w:r>
    </w:p>
    <w:p w14:paraId="6F1404AC">
      <w:pPr>
        <w:spacing w:line="700" w:lineRule="exac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（一）单位职责</w:t>
      </w:r>
    </w:p>
    <w:p w14:paraId="6E041D9D">
      <w:pPr>
        <w:spacing w:line="700" w:lineRule="exact"/>
        <w:ind w:firstLine="660" w:firstLineChars="236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对湘剧展开艺术保护、整理和加工；进行湘剧创作、评论及研究；开展湘剧艺术普及与推广；进行综合文艺表演等工作</w:t>
      </w:r>
      <w:bookmarkStart w:id="0" w:name="_GoBack"/>
      <w:bookmarkEnd w:id="0"/>
      <w:r>
        <w:rPr>
          <w:rFonts w:hint="eastAsia" w:ascii="宋体" w:hAnsi="宋体" w:cs="宋体"/>
          <w:sz w:val="28"/>
          <w:szCs w:val="28"/>
        </w:rPr>
        <w:t>.2024年主要工作如下：</w:t>
      </w:r>
    </w:p>
    <w:p w14:paraId="7D5461ED">
      <w:pPr>
        <w:spacing w:line="700" w:lineRule="exact"/>
        <w:ind w:firstLine="660" w:firstLineChars="236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1、传达省文化厅李爱武厅长在2024年全省艺术创作工作会议上的讲话精神,启动新创</w:t>
      </w:r>
      <w:r>
        <w:rPr>
          <w:rFonts w:hint="eastAsia" w:ascii="宋体" w:hAnsi="宋体" w:cs="宋体"/>
          <w:sz w:val="28"/>
          <w:szCs w:val="28"/>
          <w:lang w:eastAsia="zh-CN"/>
        </w:rPr>
        <w:t>乡村振兴</w:t>
      </w:r>
      <w:r>
        <w:rPr>
          <w:rFonts w:hint="eastAsia" w:ascii="宋体" w:hAnsi="宋体" w:cs="宋体"/>
          <w:sz w:val="28"/>
          <w:szCs w:val="28"/>
        </w:rPr>
        <w:t>题材现代小戏《树新风》创作工作。9月25日剧组赴长沙参加第八届湖南艺术节，并在比赛中凭借出色的表现荣获“田汉小剧目奖”。</w:t>
      </w:r>
    </w:p>
    <w:p w14:paraId="293DAE1F">
      <w:pPr>
        <w:spacing w:line="700" w:lineRule="exact"/>
        <w:ind w:firstLine="660" w:firstLineChars="236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2、与衡阳星玖文化传媒有限公司</w:t>
      </w:r>
      <w:r>
        <w:rPr>
          <w:rFonts w:hint="eastAsia" w:ascii="宋体" w:hAnsi="宋体" w:cs="宋体"/>
          <w:sz w:val="28"/>
          <w:szCs w:val="28"/>
          <w:lang w:eastAsia="zh-CN"/>
        </w:rPr>
        <w:t>签订</w:t>
      </w:r>
      <w:r>
        <w:rPr>
          <w:rFonts w:hint="eastAsia" w:ascii="宋体" w:hAnsi="宋体" w:cs="宋体"/>
          <w:sz w:val="28"/>
          <w:szCs w:val="28"/>
        </w:rPr>
        <w:t>合作协议，达成战略联盟，策划抖音直播方案，组织演职人员、非遗代表性传承人拍摄视频、抖音直播，通过团队创作文化影像，传播衡阳湘剧，让更多的人认识湘剧、了解湘剧、喜欢湘剧。</w:t>
      </w:r>
    </w:p>
    <w:p w14:paraId="3E4D99D4">
      <w:pPr>
        <w:spacing w:line="700" w:lineRule="exact"/>
        <w:ind w:firstLine="660" w:firstLineChars="236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3、复排传统大戏《生死牌》、经典剧目《醉打山门》、在传承经典戏曲文化的同时，精进了业务技能</w:t>
      </w:r>
    </w:p>
    <w:p w14:paraId="42132731">
      <w:pPr>
        <w:spacing w:line="700" w:lineRule="exact"/>
        <w:ind w:firstLine="660" w:firstLineChars="236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现代小戏《爸爸，女儿回来了》，创作主题曲《湘剧之歌》，</w:t>
      </w:r>
    </w:p>
    <w:p w14:paraId="73D36015">
      <w:pPr>
        <w:spacing w:line="700" w:lineRule="exact"/>
        <w:ind w:firstLine="660" w:firstLineChars="236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赴耒阳耒阳市仁义乡谭家湾进行抢救性挖掘，经过与谭老亲属与耒阳市文旅局、非遗中心的沟通协调，项目部共收集《珍珠塔》、《金水桥》、《东吴招亲》、《四下河南》、《陈赵父曹梅应师》等十余本衡阳湘剧传统剧本，为衡阳湘剧的传承赓续提供了更多的数据和信息；在老艺人家中整理湘剧传统戏曲剧本20余个，曲谱10余个；完成大型湘剧传统剧目《置田庄》、《佘赛花》剧本整理工作，</w:t>
      </w:r>
    </w:p>
    <w:p w14:paraId="0F1A0B4E">
      <w:pPr>
        <w:spacing w:line="700" w:lineRule="exact"/>
        <w:ind w:firstLine="660" w:firstLineChars="236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5、5月31日组织衡阳市”非遗六一戏曲晚会”演出，传承和发扬中华优秀传统文化，结合现代生活，形成多元化的文化形态，提高文化的深度和广度，收获观众一致好评。</w:t>
      </w:r>
    </w:p>
    <w:p w14:paraId="7530649B">
      <w:pPr>
        <w:spacing w:line="700" w:lineRule="exact"/>
        <w:ind w:firstLine="660" w:firstLineChars="236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6、国家级传承人年度审核；</w:t>
      </w:r>
    </w:p>
    <w:p w14:paraId="5C909421">
      <w:pPr>
        <w:spacing w:line="700" w:lineRule="exact"/>
        <w:ind w:firstLine="660" w:firstLineChars="236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7、祝清申报入选2024年衡阳市宣传思想文化领域第一批高层次E类人才；</w:t>
      </w:r>
    </w:p>
    <w:p w14:paraId="318F9FB7">
      <w:pPr>
        <w:spacing w:line="700" w:lineRule="exact"/>
        <w:ind w:firstLine="660" w:firstLineChars="236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8、9月21-22日参加第三届湖南非遗博览会，顺利完成“AI衡阳”版块组织及演出任务；</w:t>
      </w:r>
    </w:p>
    <w:p w14:paraId="0237AF27">
      <w:pPr>
        <w:spacing w:line="700" w:lineRule="exact"/>
        <w:ind w:firstLine="660" w:firstLineChars="236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10、完成“送戏下乡 演艺惠民”戏曲演出活动53场，其中县市区7场、村级36场、学校7场；</w:t>
      </w:r>
    </w:p>
    <w:p w14:paraId="340198D7">
      <w:pPr>
        <w:spacing w:line="700" w:lineRule="exact"/>
        <w:ind w:firstLine="660" w:firstLineChars="236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（二）机构设置情况</w:t>
      </w:r>
    </w:p>
    <w:p w14:paraId="3C51327E">
      <w:pPr>
        <w:spacing w:line="700" w:lineRule="exact"/>
        <w:ind w:firstLine="660" w:firstLineChars="236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公司内设机构主要有四个，公司内设办公室（负责办公室、财务、人事、党务等综合工作、非遗保护部（负责非遗保护方面的工作）、演艺部（负责剧目创作及演出）、市场营销部（负责开拓市场，策划活动方案）四个部门。</w:t>
      </w:r>
    </w:p>
    <w:p w14:paraId="120AE311">
      <w:pPr>
        <w:spacing w:line="700" w:lineRule="exact"/>
        <w:ind w:firstLine="660" w:firstLineChars="236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（三）人员编制情况</w:t>
      </w:r>
    </w:p>
    <w:p w14:paraId="46B5CE1B">
      <w:pPr>
        <w:spacing w:line="700" w:lineRule="exact"/>
        <w:ind w:firstLine="660" w:firstLineChars="236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截止到</w:t>
      </w:r>
      <w:r>
        <w:rPr>
          <w:rFonts w:ascii="宋体" w:hAnsi="宋体" w:cs="宋体"/>
          <w:sz w:val="28"/>
          <w:szCs w:val="28"/>
        </w:rPr>
        <w:t>202</w:t>
      </w:r>
      <w:r>
        <w:rPr>
          <w:rFonts w:hint="eastAsia" w:ascii="宋体" w:hAnsi="宋体" w:cs="宋体"/>
          <w:sz w:val="28"/>
          <w:szCs w:val="28"/>
        </w:rPr>
        <w:t>4年9月止，在职人员58人，退休人员47人。</w:t>
      </w:r>
    </w:p>
    <w:p w14:paraId="157F9A8A">
      <w:pPr>
        <w:pStyle w:val="7"/>
        <w:widowControl/>
        <w:spacing w:line="700" w:lineRule="exact"/>
        <w:ind w:firstLine="64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二、一般公共预算支出情况</w:t>
      </w:r>
    </w:p>
    <w:p w14:paraId="5B5866B7">
      <w:pPr>
        <w:pStyle w:val="7"/>
        <w:widowControl/>
        <w:spacing w:line="700" w:lineRule="exact"/>
        <w:ind w:firstLine="643"/>
        <w:rPr>
          <w:rFonts w:eastAsia="楷体"/>
          <w:b/>
          <w:sz w:val="32"/>
          <w:szCs w:val="32"/>
        </w:rPr>
      </w:pPr>
      <w:r>
        <w:rPr>
          <w:rFonts w:hint="eastAsia" w:eastAsia="楷体"/>
          <w:b/>
          <w:sz w:val="32"/>
          <w:szCs w:val="32"/>
        </w:rPr>
        <w:t>（一）基本支出情况</w:t>
      </w:r>
    </w:p>
    <w:p w14:paraId="1960E963">
      <w:pPr>
        <w:widowControl/>
        <w:spacing w:line="70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2</w:t>
      </w:r>
      <w:r>
        <w:rPr>
          <w:rFonts w:ascii="Times New Roman" w:hAnsi="Times New Roman" w:eastAsia="仿宋"/>
          <w:sz w:val="32"/>
          <w:szCs w:val="32"/>
        </w:rPr>
        <w:t>02</w:t>
      </w:r>
      <w:r>
        <w:rPr>
          <w:rFonts w:hint="eastAsia" w:ascii="Times New Roman" w:hAnsi="Times New Roman" w:eastAsia="仿宋"/>
          <w:sz w:val="32"/>
          <w:szCs w:val="32"/>
        </w:rPr>
        <w:t>4年基本支出为602万元。</w:t>
      </w:r>
    </w:p>
    <w:p w14:paraId="6969585D">
      <w:pPr>
        <w:pStyle w:val="7"/>
        <w:widowControl/>
        <w:spacing w:line="700" w:lineRule="exact"/>
        <w:ind w:firstLine="643"/>
        <w:rPr>
          <w:rFonts w:eastAsia="楷体"/>
          <w:b/>
          <w:sz w:val="32"/>
          <w:szCs w:val="32"/>
        </w:rPr>
      </w:pPr>
      <w:r>
        <w:rPr>
          <w:rFonts w:hint="eastAsia" w:eastAsia="楷体"/>
          <w:b/>
          <w:sz w:val="32"/>
          <w:szCs w:val="32"/>
        </w:rPr>
        <w:t>（二）项目支出情况</w:t>
      </w:r>
    </w:p>
    <w:p w14:paraId="096FD87B">
      <w:pPr>
        <w:widowControl/>
        <w:spacing w:line="70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2</w:t>
      </w:r>
      <w:r>
        <w:rPr>
          <w:rFonts w:ascii="Times New Roman" w:hAnsi="Times New Roman" w:eastAsia="仿宋"/>
          <w:sz w:val="32"/>
          <w:szCs w:val="32"/>
        </w:rPr>
        <w:t>02</w:t>
      </w:r>
      <w:r>
        <w:rPr>
          <w:rFonts w:hint="eastAsia" w:ascii="Times New Roman" w:hAnsi="Times New Roman" w:eastAsia="仿宋"/>
          <w:sz w:val="32"/>
          <w:szCs w:val="32"/>
        </w:rPr>
        <w:t>4年项目支出为216万元。</w:t>
      </w:r>
    </w:p>
    <w:p w14:paraId="22D0A15B">
      <w:pPr>
        <w:pStyle w:val="7"/>
        <w:widowControl/>
        <w:spacing w:line="700" w:lineRule="exact"/>
        <w:ind w:firstLine="64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三、政府性基金预算支出情况：无</w:t>
      </w:r>
    </w:p>
    <w:p w14:paraId="38CADC27">
      <w:pPr>
        <w:pStyle w:val="7"/>
        <w:widowControl/>
        <w:spacing w:line="700" w:lineRule="exact"/>
        <w:ind w:firstLine="64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四、国有资本经营预算支出情况：无</w:t>
      </w:r>
    </w:p>
    <w:p w14:paraId="596C9191">
      <w:pPr>
        <w:pStyle w:val="7"/>
        <w:widowControl/>
        <w:spacing w:line="700" w:lineRule="exact"/>
        <w:ind w:firstLine="64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五、社会保险基金预算支出情况：无</w:t>
      </w:r>
    </w:p>
    <w:p w14:paraId="351959DE">
      <w:pPr>
        <w:widowControl/>
        <w:spacing w:line="7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六、部门整体支出绩效情况</w:t>
      </w:r>
    </w:p>
    <w:p w14:paraId="055E7042">
      <w:pPr>
        <w:spacing w:line="700" w:lineRule="exac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本年度绩效目标全面完成。项目资金严格按照批准的项目和资金执行，做到专款专用。</w:t>
      </w:r>
    </w:p>
    <w:p w14:paraId="13055983">
      <w:pPr>
        <w:spacing w:line="700" w:lineRule="exac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公司通过长期积极开展送戏下乡活动，很大程度上满足和解决人民群众日益增长的文化生活的需求，取得了很好的社会效益。并同时对非遗剧目进行复排、创新展演和培养传承人等保护传承项目活动，使湘剧不断扩大影响力，为建设文化强市添砖加瓦</w:t>
      </w:r>
      <w:r>
        <w:rPr>
          <w:rFonts w:hint="eastAsia" w:ascii="宋体" w:hAnsi="宋体"/>
          <w:color w:val="222222"/>
          <w:sz w:val="28"/>
          <w:szCs w:val="28"/>
          <w:shd w:val="clear" w:color="auto" w:fill="FFFFFF"/>
          <w:lang w:bidi="ar"/>
        </w:rPr>
        <w:t>。</w:t>
      </w:r>
    </w:p>
    <w:p w14:paraId="20E7DFFB">
      <w:pPr>
        <w:pStyle w:val="7"/>
        <w:widowControl/>
        <w:spacing w:line="700" w:lineRule="exact"/>
        <w:ind w:firstLine="64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七、存在的问题及原因分</w:t>
      </w:r>
    </w:p>
    <w:p w14:paraId="6CDAF107">
      <w:pPr>
        <w:spacing w:line="700" w:lineRule="exact"/>
        <w:ind w:firstLine="688" w:firstLineChars="246"/>
        <w:rPr>
          <w:rFonts w:hint="eastAsia" w:ascii="宋体" w:hAnsi="宋体" w:cs="仿宋"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公用经费预算执行存在偏差。</w:t>
      </w:r>
      <w:r>
        <w:rPr>
          <w:rFonts w:hint="eastAsia" w:ascii="宋体" w:hAnsi="宋体" w:cs="仿宋"/>
          <w:sz w:val="28"/>
          <w:szCs w:val="28"/>
        </w:rPr>
        <w:t>主要是对演出排练时外聘人员、返聘人员、临聘人员的劳务工资和演出时所需要更换、添置的灯服道效的预算不足，导致年终决算与预算数据有偏差。</w:t>
      </w:r>
    </w:p>
    <w:p w14:paraId="60005263">
      <w:pPr>
        <w:widowControl/>
        <w:spacing w:line="7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八、下一步改进措施</w:t>
      </w:r>
    </w:p>
    <w:p w14:paraId="6437C287">
      <w:pPr>
        <w:pStyle w:val="4"/>
        <w:spacing w:beforeAutospacing="0" w:afterAutospacing="0" w:line="700" w:lineRule="exact"/>
        <w:ind w:firstLine="560" w:firstLineChars="200"/>
        <w:rPr>
          <w:rFonts w:hint="eastAsia" w:ascii="宋体" w:hAnsi="宋体" w:cs="仿宋_GB2312"/>
          <w:sz w:val="28"/>
          <w:szCs w:val="28"/>
        </w:rPr>
      </w:pPr>
      <w:r>
        <w:rPr>
          <w:rFonts w:hint="eastAsia" w:ascii="宋体" w:hAnsi="宋体" w:cs="仿宋_GB2312"/>
          <w:color w:val="000000"/>
          <w:sz w:val="28"/>
          <w:szCs w:val="28"/>
          <w:shd w:val="clear" w:color="auto" w:fill="FFFFFF"/>
        </w:rPr>
        <w:t>（一）进一步规范账务处理，提高财务信息质量</w:t>
      </w:r>
    </w:p>
    <w:p w14:paraId="4A2EB40C">
      <w:pPr>
        <w:pStyle w:val="4"/>
        <w:spacing w:beforeAutospacing="0" w:afterAutospacing="0" w:line="700" w:lineRule="exact"/>
        <w:ind w:firstLine="560" w:firstLineChars="200"/>
        <w:rPr>
          <w:rFonts w:hint="eastAsia" w:ascii="宋体" w:hAnsi="宋体" w:cs="仿宋_GB2312"/>
          <w:sz w:val="28"/>
          <w:szCs w:val="28"/>
        </w:rPr>
      </w:pPr>
      <w:r>
        <w:rPr>
          <w:rFonts w:hint="eastAsia" w:ascii="宋体" w:hAnsi="宋体" w:cs="仿宋_GB2312"/>
          <w:color w:val="000000"/>
          <w:sz w:val="28"/>
          <w:szCs w:val="28"/>
          <w:shd w:val="clear" w:color="auto" w:fill="FFFFFF"/>
        </w:rPr>
        <w:t> 严格按照</w:t>
      </w:r>
      <w:r>
        <w:rPr>
          <w:rFonts w:hint="eastAsia" w:ascii="宋体" w:hAnsi="宋体" w:cs="仿宋_GB2312"/>
          <w:color w:val="000000"/>
          <w:sz w:val="28"/>
          <w:szCs w:val="28"/>
          <w:shd w:val="clear" w:color="auto" w:fill="FFFFFF"/>
          <w:lang w:eastAsia="zh-CN"/>
        </w:rPr>
        <w:t>《中华人民共和国会计法》</w:t>
      </w:r>
      <w:r>
        <w:rPr>
          <w:rFonts w:hint="eastAsia" w:ascii="宋体" w:hAnsi="宋体" w:cs="仿宋_GB2312"/>
          <w:color w:val="000000"/>
          <w:sz w:val="28"/>
          <w:szCs w:val="28"/>
          <w:shd w:val="clear" w:color="auto" w:fill="FFFFFF"/>
        </w:rPr>
        <w:t>和《行政事业单位新会计制度》等规定执行专项财务核算，并结合实际情况，完整、准确地披露相关信息，尽可能地做到决算与预算相衔接。</w:t>
      </w:r>
    </w:p>
    <w:p w14:paraId="7CBE05A0">
      <w:pPr>
        <w:pStyle w:val="4"/>
        <w:spacing w:beforeAutospacing="0" w:afterAutospacing="0" w:line="700" w:lineRule="exact"/>
        <w:ind w:firstLine="560" w:firstLineChars="200"/>
        <w:rPr>
          <w:rFonts w:hint="eastAsia" w:ascii="宋体" w:hAnsi="宋体" w:cs="仿宋_GB2312"/>
          <w:sz w:val="28"/>
          <w:szCs w:val="28"/>
        </w:rPr>
      </w:pPr>
      <w:r>
        <w:rPr>
          <w:rFonts w:hint="eastAsia" w:ascii="宋体" w:hAnsi="宋体" w:cs="仿宋_GB2312"/>
          <w:color w:val="000000"/>
          <w:sz w:val="28"/>
          <w:szCs w:val="28"/>
          <w:shd w:val="clear" w:color="auto" w:fill="FFFFFF"/>
        </w:rPr>
        <w:t>（二）进一步加强新行政单位会计制度和新预算法学习培训</w:t>
      </w:r>
    </w:p>
    <w:p w14:paraId="20EAC017">
      <w:pPr>
        <w:pStyle w:val="4"/>
        <w:shd w:val="clear" w:color="auto" w:fill="FFFFFF"/>
        <w:spacing w:beforeAutospacing="0" w:afterAutospacing="0" w:line="700" w:lineRule="exact"/>
        <w:ind w:firstLine="600"/>
        <w:jc w:val="both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 w:cs="仿宋_GB2312"/>
          <w:color w:val="000000"/>
          <w:sz w:val="28"/>
          <w:szCs w:val="28"/>
          <w:shd w:val="clear" w:color="auto" w:fill="FFFFFF"/>
        </w:rPr>
        <w:t> 进一步</w:t>
      </w:r>
      <w:r>
        <w:rPr>
          <w:rFonts w:hint="eastAsia" w:ascii="宋体" w:hAnsi="宋体"/>
          <w:sz w:val="28"/>
          <w:szCs w:val="28"/>
        </w:rPr>
        <w:t>加强新</w:t>
      </w:r>
      <w:r>
        <w:rPr>
          <w:rFonts w:hint="eastAsia" w:ascii="宋体" w:hAnsi="宋体"/>
          <w:sz w:val="28"/>
          <w:szCs w:val="28"/>
          <w:lang w:eastAsia="zh-CN"/>
        </w:rPr>
        <w:t>《中华人民共和国预算法》</w:t>
      </w:r>
      <w:r>
        <w:rPr>
          <w:rFonts w:hint="eastAsia" w:ascii="宋体" w:hAnsi="宋体"/>
          <w:sz w:val="28"/>
          <w:szCs w:val="28"/>
        </w:rPr>
        <w:t>、《行政单位会计制度》等学习培训，规范专项预算收支核算，进一步制定和完善项目支出标准，严格按项目和进度执行预算，增强预算的约束力和严肃性。落实预算执行分析，及时了解预算执行差异，合理调整、纠正预算执行偏差，切实提高专项预算收支管理水平。</w:t>
      </w:r>
    </w:p>
    <w:p w14:paraId="1F17544B">
      <w:pPr>
        <w:pStyle w:val="4"/>
        <w:shd w:val="clear" w:color="auto" w:fill="FFFFFF"/>
        <w:spacing w:beforeAutospacing="0" w:afterAutospacing="0" w:line="700" w:lineRule="exact"/>
        <w:ind w:firstLine="600"/>
        <w:jc w:val="both"/>
        <w:rPr>
          <w:rFonts w:hint="eastAsia" w:ascii="宋体" w:hAnsi="宋体"/>
          <w:sz w:val="28"/>
          <w:szCs w:val="28"/>
        </w:rPr>
      </w:pPr>
    </w:p>
    <w:p w14:paraId="4FB0AB6E">
      <w:pPr>
        <w:pStyle w:val="4"/>
        <w:shd w:val="clear" w:color="auto" w:fill="FFFFFF"/>
        <w:spacing w:beforeAutospacing="0" w:afterAutospacing="0" w:line="700" w:lineRule="exact"/>
        <w:ind w:firstLine="600"/>
        <w:jc w:val="both"/>
        <w:rPr>
          <w:rFonts w:hint="eastAsia" w:ascii="宋体" w:hAnsi="宋体"/>
          <w:sz w:val="28"/>
          <w:szCs w:val="28"/>
        </w:rPr>
      </w:pPr>
    </w:p>
    <w:p w14:paraId="03FE5BD6">
      <w:pPr>
        <w:pStyle w:val="4"/>
        <w:shd w:val="clear" w:color="auto" w:fill="FFFFFF"/>
        <w:spacing w:beforeAutospacing="0" w:afterAutospacing="0" w:line="700" w:lineRule="exact"/>
        <w:ind w:firstLine="3920" w:firstLineChars="1400"/>
        <w:jc w:val="both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衡阳湘剧艺术有限责任公司</w:t>
      </w:r>
    </w:p>
    <w:p w14:paraId="67074FE1">
      <w:pPr>
        <w:pStyle w:val="4"/>
        <w:shd w:val="clear" w:color="auto" w:fill="FFFFFF"/>
        <w:spacing w:beforeAutospacing="0" w:afterAutospacing="0" w:line="700" w:lineRule="exact"/>
        <w:ind w:firstLine="5040" w:firstLineChars="1800"/>
        <w:jc w:val="both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</w:t>
      </w:r>
      <w:r>
        <w:rPr>
          <w:rFonts w:ascii="宋体" w:hAnsi="宋体"/>
          <w:sz w:val="28"/>
          <w:szCs w:val="28"/>
        </w:rPr>
        <w:t>02</w:t>
      </w:r>
      <w:r>
        <w:rPr>
          <w:rFonts w:hint="eastAsia" w:ascii="宋体" w:hAnsi="宋体"/>
          <w:sz w:val="28"/>
          <w:szCs w:val="28"/>
        </w:rPr>
        <w:t>5</w:t>
      </w:r>
      <w:r>
        <w:rPr>
          <w:rFonts w:ascii="宋体" w:hAnsi="宋体"/>
          <w:sz w:val="28"/>
          <w:szCs w:val="28"/>
        </w:rPr>
        <w:t>.3</w:t>
      </w:r>
    </w:p>
    <w:p w14:paraId="776B2357">
      <w:pPr>
        <w:widowControl/>
        <w:spacing w:line="5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</w:p>
    <w:p w14:paraId="5B0BA27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E372C8"/>
    <w:multiLevelType w:val="multilevel"/>
    <w:tmpl w:val="44E372C8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4E5"/>
    <w:rsid w:val="000C2D94"/>
    <w:rsid w:val="00253334"/>
    <w:rsid w:val="003034F4"/>
    <w:rsid w:val="003F12B9"/>
    <w:rsid w:val="00404DBB"/>
    <w:rsid w:val="0043777D"/>
    <w:rsid w:val="004D2AFB"/>
    <w:rsid w:val="005F6232"/>
    <w:rsid w:val="007C099A"/>
    <w:rsid w:val="00844C5F"/>
    <w:rsid w:val="00895178"/>
    <w:rsid w:val="0099497C"/>
    <w:rsid w:val="00B25ABB"/>
    <w:rsid w:val="00DB5611"/>
    <w:rsid w:val="00E12487"/>
    <w:rsid w:val="00E12B0E"/>
    <w:rsid w:val="00E870CC"/>
    <w:rsid w:val="00FB0EED"/>
    <w:rsid w:val="00FF14E5"/>
    <w:rsid w:val="2EAD4823"/>
    <w:rsid w:val="324C159F"/>
    <w:rsid w:val="3A66332D"/>
    <w:rsid w:val="401D732F"/>
    <w:rsid w:val="5DDB6408"/>
    <w:rsid w:val="6A2A1A86"/>
    <w:rsid w:val="6C6A6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ascii="Times New Roman" w:hAnsi="Times New Roman"/>
      <w:kern w:val="0"/>
      <w:sz w:val="24"/>
      <w:szCs w:val="24"/>
    </w:rPr>
  </w:style>
  <w:style w:type="paragraph" w:styleId="7">
    <w:name w:val="List Paragraph"/>
    <w:basedOn w:val="1"/>
    <w:qFormat/>
    <w:uiPriority w:val="99"/>
    <w:pPr>
      <w:ind w:firstLine="420" w:firstLineChars="200"/>
    </w:pPr>
    <w:rPr>
      <w:rFonts w:ascii="Times New Roman" w:hAnsi="Times New Roman"/>
      <w:szCs w:val="24"/>
    </w:rPr>
  </w:style>
  <w:style w:type="character" w:customStyle="1" w:styleId="8">
    <w:name w:val="页眉 字符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1510</Words>
  <Characters>1552</Characters>
  <Lines>11</Lines>
  <Paragraphs>3</Paragraphs>
  <TotalTime>37</TotalTime>
  <ScaleCrop>false</ScaleCrop>
  <LinksUpToDate>false</LinksUpToDate>
  <CharactersWithSpaces>1556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2022-04-04T08:17:00Z</dcterms:created>
  <dc:creator>379625640@qq.com</dc:creator>
  <cp:lastModifiedBy>邓婷</cp:lastModifiedBy>
  <dcterms:modified xsi:type="dcterms:W3CDTF">2025-10-10T01:58:30Z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23E144B99C9345449944AA4ADC49B847_13</vt:lpwstr>
  </property>
  <property fmtid="{D5CDD505-2E9C-101B-9397-08002B2CF9AE}" pid="4" name="KSOTemplateDocerSaveRecord">
    <vt:lpwstr>eyJoZGlkIjoiYzcyNDI3NjdjZTYxODY2MDcwNjk4OTAxM2VlY2VhOGIiLCJ1c2VySWQiOiIxMDY5MjgzMDcxIn0=</vt:lpwstr>
  </property>
</Properties>
</file>